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Tomelilla kommunfullmäktige</w:t>
      </w:r>
    </w:p>
    <w:p>
      <w:pPr>
        <w:pStyle w:val="Heading1"/>
      </w:pPr>
      <w:r>
        <w:t xml:space="preserve">Stärk det förebyggande arbetet för unga genom idrott och kultur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Tomelilla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 och utanförskap ökar enligt kommunens egen rapport 2024. Föreningslivet är starkt men saknar samordnat stöd. Förebyggande insatser ger långsiktig trygghet.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Tomelilla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en samordningsfunktion mellan skola, idrott och kultur.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300 000 kronor årligen till föreningsstöd med fokus på utsatta områden.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kostnadsfria prova-på-aktiviteter för alla sjundeklassare.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deltagande och effekter årligen.</w:t>
      </w:r>
    </w:p>
    <w:p>
      <w:pPr>
        <w:spacing w:before="360"/>
      </w:pPr>
    </w:p>
    <w:p>
      <w:r>
        <w:t xml:space="preserve">Tomelilla,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Tomelilla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2026-06-06T01:48:31.858Z</dcterms:created>
  <dcterms:modified xsi:type="dcterms:W3CDTF">2026-06-06T01:48:31.858Z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